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251660288" from="610.833435pt,7.213089pt" to="610.833435pt,791.999982pt" stroked="true" strokeweight=".360586pt" strokecolor="#000000">
            <v:stroke dashstyle="solid"/>
            <w10:wrap type="none"/>
          </v:line>
        </w:pict>
      </w:r>
    </w:p>
    <w:p>
      <w:pPr>
        <w:pStyle w:val="BodyText"/>
        <w:spacing w:before="11"/>
        <w:rPr>
          <w:rFonts w:ascii="Times New Roman"/>
          <w:sz w:val="26"/>
        </w:rPr>
      </w:pPr>
    </w:p>
    <w:p>
      <w:pPr>
        <w:tabs>
          <w:tab w:pos="8851" w:val="left" w:leader="none"/>
        </w:tabs>
        <w:spacing w:before="95" w:after="2"/>
        <w:ind w:left="155" w:right="0" w:firstLine="0"/>
        <w:jc w:val="left"/>
        <w:rPr>
          <w:sz w:val="16"/>
        </w:rPr>
      </w:pPr>
      <w:r>
        <w:rPr>
          <w:w w:val="90"/>
          <w:sz w:val="15"/>
        </w:rPr>
        <w:t>STATE</w:t>
      </w:r>
      <w:r>
        <w:rPr>
          <w:spacing w:val="-10"/>
          <w:w w:val="90"/>
          <w:sz w:val="15"/>
        </w:rPr>
        <w:t> </w:t>
      </w:r>
      <w:r>
        <w:rPr>
          <w:w w:val="90"/>
          <w:sz w:val="15"/>
        </w:rPr>
        <w:t>OF</w:t>
      </w:r>
      <w:r>
        <w:rPr>
          <w:spacing w:val="-15"/>
          <w:w w:val="90"/>
          <w:sz w:val="15"/>
        </w:rPr>
        <w:t> </w:t>
      </w:r>
      <w:r>
        <w:rPr>
          <w:w w:val="90"/>
          <w:sz w:val="15"/>
        </w:rPr>
        <w:t>CALIFORNIA-</w:t>
      </w:r>
      <w:r>
        <w:rPr>
          <w:spacing w:val="-9"/>
          <w:w w:val="90"/>
          <w:sz w:val="15"/>
        </w:rPr>
        <w:t> </w:t>
      </w:r>
      <w:r>
        <w:rPr>
          <w:w w:val="90"/>
          <w:sz w:val="15"/>
        </w:rPr>
        <w:t>CALIFORNIA</w:t>
      </w:r>
      <w:r>
        <w:rPr>
          <w:spacing w:val="-5"/>
          <w:w w:val="90"/>
          <w:sz w:val="15"/>
        </w:rPr>
        <w:t> </w:t>
      </w:r>
      <w:r>
        <w:rPr>
          <w:w w:val="90"/>
          <w:sz w:val="15"/>
        </w:rPr>
        <w:t>NATURAL</w:t>
      </w:r>
      <w:r>
        <w:rPr>
          <w:spacing w:val="-6"/>
          <w:w w:val="90"/>
          <w:sz w:val="15"/>
        </w:rPr>
        <w:t> </w:t>
      </w:r>
      <w:r>
        <w:rPr>
          <w:w w:val="90"/>
          <w:sz w:val="15"/>
        </w:rPr>
        <w:t>RESOURCES</w:t>
      </w:r>
      <w:r>
        <w:rPr>
          <w:spacing w:val="4"/>
          <w:w w:val="90"/>
          <w:sz w:val="15"/>
        </w:rPr>
        <w:t> </w:t>
      </w:r>
      <w:r>
        <w:rPr>
          <w:w w:val="90"/>
          <w:sz w:val="15"/>
        </w:rPr>
        <w:t>AGENCY</w:t>
        <w:tab/>
      </w:r>
      <w:r>
        <w:rPr>
          <w:position w:val="-4"/>
          <w:sz w:val="16"/>
        </w:rPr>
        <w:t>GAVIN NEWSOM,</w:t>
      </w:r>
      <w:r>
        <w:rPr>
          <w:spacing w:val="9"/>
          <w:position w:val="-4"/>
          <w:sz w:val="16"/>
        </w:rPr>
        <w:t> </w:t>
      </w:r>
      <w:r>
        <w:rPr>
          <w:position w:val="-4"/>
          <w:sz w:val="16"/>
        </w:rPr>
        <w:t>Governor</w:t>
      </w:r>
    </w:p>
    <w:p>
      <w:pPr>
        <w:pStyle w:val="BodyText"/>
        <w:ind w:left="97"/>
        <w:rPr>
          <w:sz w:val="20"/>
        </w:rPr>
      </w:pPr>
      <w:r>
        <w:rPr>
          <w:sz w:val="20"/>
        </w:rPr>
        <w:pict>
          <v:group style="width:542.35pt;height:56.65pt;mso-position-horizontal-relative:char;mso-position-vertical-relative:line" coordorigin="0,0" coordsize="10847,1133">
            <v:shape style="position:absolute;left:9894;top:7;width:952;height:1126" type="#_x0000_t75" stroked="false">
              <v:imagedata r:id="rId5" o:title=""/>
            </v:shape>
            <v:line style="position:absolute" from="0,14" to="9894,14" stroked="true" strokeweight="1.442618pt" strokecolor="#000000">
              <v:stroke dashstyle="solid"/>
            </v:line>
            <v:shapetype id="_x0000_t202" o:spt="202" coordsize="21600,21600" path="m,l,21600r21600,l21600,xe">
              <v:stroke joinstyle="miter"/>
              <v:path gradientshapeok="t" o:connecttype="rect"/>
            </v:shapetype>
            <v:shape style="position:absolute;left:0;top:0;width:10847;height:1133" type="#_x0000_t202" filled="false" stroked="false">
              <v:textbox inset="0,0,0,0">
                <w:txbxContent>
                  <w:p>
                    <w:pPr>
                      <w:spacing w:line="275" w:lineRule="exact" w:before="49"/>
                      <w:ind w:left="47" w:right="0" w:firstLine="0"/>
                      <w:jc w:val="left"/>
                      <w:rPr>
                        <w:b/>
                        <w:sz w:val="24"/>
                      </w:rPr>
                    </w:pPr>
                    <w:r>
                      <w:rPr>
                        <w:b/>
                        <w:sz w:val="24"/>
                      </w:rPr>
                      <w:t>DEPARTMENT OF WATER RESOURCES</w:t>
                    </w:r>
                  </w:p>
                  <w:p>
                    <w:pPr>
                      <w:spacing w:line="195" w:lineRule="exact" w:before="0"/>
                      <w:ind w:left="46" w:right="0" w:firstLine="0"/>
                      <w:jc w:val="left"/>
                      <w:rPr>
                        <w:sz w:val="17"/>
                      </w:rPr>
                    </w:pPr>
                    <w:r>
                      <w:rPr>
                        <w:sz w:val="17"/>
                      </w:rPr>
                      <w:t>1416 NINTH STREET, P.O. BOX 942836</w:t>
                    </w:r>
                  </w:p>
                  <w:p>
                    <w:pPr>
                      <w:spacing w:line="195" w:lineRule="exact" w:before="0"/>
                      <w:ind w:left="42" w:right="0" w:firstLine="0"/>
                      <w:jc w:val="left"/>
                      <w:rPr>
                        <w:sz w:val="17"/>
                      </w:rPr>
                    </w:pPr>
                    <w:r>
                      <w:rPr>
                        <w:sz w:val="17"/>
                      </w:rPr>
                      <w:t>SACRAMENTO, CA 94236-0001</w:t>
                    </w:r>
                  </w:p>
                  <w:p>
                    <w:pPr>
                      <w:spacing w:line="195" w:lineRule="exact" w:before="0"/>
                      <w:ind w:left="54" w:right="0" w:firstLine="0"/>
                      <w:jc w:val="left"/>
                      <w:rPr>
                        <w:sz w:val="17"/>
                      </w:rPr>
                    </w:pPr>
                    <w:r>
                      <w:rPr>
                        <w:sz w:val="17"/>
                      </w:rPr>
                      <w:t>(916) 653-5791</w:t>
                    </w:r>
                  </w:p>
                </w:txbxContent>
              </v:textbox>
              <w10:wrap type="none"/>
            </v:shape>
          </v:group>
        </w:pict>
      </w:r>
      <w:r>
        <w:rPr>
          <w:sz w:val="20"/>
        </w:rPr>
      </w:r>
    </w:p>
    <w:p>
      <w:pPr>
        <w:pStyle w:val="BodyText"/>
        <w:spacing w:before="3"/>
        <w:rPr>
          <w:sz w:val="13"/>
        </w:rPr>
      </w:pPr>
    </w:p>
    <w:p>
      <w:pPr>
        <w:pStyle w:val="BodyText"/>
        <w:spacing w:before="93"/>
        <w:ind w:left="866"/>
      </w:pPr>
      <w:r>
        <w:rPr>
          <w:w w:val="105"/>
        </w:rPr>
        <w:t>December 26, 2019</w:t>
      </w:r>
    </w:p>
    <w:p>
      <w:pPr>
        <w:pStyle w:val="BodyText"/>
        <w:rPr>
          <w:sz w:val="26"/>
        </w:rPr>
      </w:pPr>
    </w:p>
    <w:p>
      <w:pPr>
        <w:pStyle w:val="BodyText"/>
        <w:spacing w:before="1"/>
      </w:pPr>
    </w:p>
    <w:p>
      <w:pPr>
        <w:pStyle w:val="BodyText"/>
        <w:ind w:left="859"/>
      </w:pPr>
      <w:r>
        <w:rPr>
          <w:w w:val="105"/>
        </w:rPr>
        <w:t>Patty Piore</w:t>
      </w:r>
    </w:p>
    <w:p>
      <w:pPr>
        <w:pStyle w:val="BodyText"/>
        <w:spacing w:line="249" w:lineRule="auto" w:before="10"/>
        <w:ind w:left="859" w:right="6690"/>
      </w:pPr>
      <w:r>
        <w:rPr>
          <w:w w:val="105"/>
        </w:rPr>
        <w:t>Kern Groundwater Authority 1800 30th Street, Suite 280</w:t>
      </w:r>
    </w:p>
    <w:p>
      <w:pPr>
        <w:pStyle w:val="BodyText"/>
        <w:spacing w:line="496" w:lineRule="auto" w:before="5"/>
        <w:ind w:left="859" w:right="6690"/>
      </w:pPr>
      <w:r>
        <w:rPr>
          <w:w w:val="105"/>
        </w:rPr>
        <w:t>Bakersfield, California 93301 Dear Ms. Piore:</w:t>
      </w:r>
    </w:p>
    <w:p>
      <w:pPr>
        <w:pStyle w:val="BodyText"/>
        <w:spacing w:line="247" w:lineRule="auto" w:before="23"/>
        <w:ind w:left="850" w:right="860" w:hanging="1"/>
      </w:pPr>
      <w:r>
        <w:rPr>
          <w:w w:val="105"/>
        </w:rPr>
        <w:t>Thank you for affording the California Department of Water Resources (DWR) State Water Project (SWP) the opportunity to review the Kern Groundwater Authority, Draft Groundwater Sustainability Plan (GSP) as required under the Sustainable Groundwater Management Act (SGMA) of 2014.</w:t>
      </w:r>
    </w:p>
    <w:p>
      <w:pPr>
        <w:pStyle w:val="BodyText"/>
        <w:spacing w:before="1"/>
        <w:rPr>
          <w:sz w:val="25"/>
        </w:rPr>
      </w:pPr>
    </w:p>
    <w:p>
      <w:pPr>
        <w:pStyle w:val="BodyText"/>
        <w:spacing w:line="249" w:lineRule="auto"/>
        <w:ind w:left="841" w:right="860" w:firstLine="8"/>
      </w:pPr>
      <w:r>
        <w:rPr>
          <w:w w:val="105"/>
        </w:rPr>
        <w:t>The SWP's chief goals regarding subsidence are to remediate past and ongoing damage to the California Aqueduct (Aqueduct) while also addressing the underlying causes. More than 70 miles of the Aqueduct are located within the Kern Groundwater Authority, and subsidence within this area has reduced the Aqueduct's conveyance capacity and operational flexibility. The areas and magnitudes of these impacts can be found in DWR's California Aqueduct Subsidence Study (June 2017) and the California Aqueduct Subsidence Study: Supplemental Report (March 2019). We have completed an initial review of the draft GSP and we have the following general comments:</w:t>
      </w:r>
    </w:p>
    <w:p>
      <w:pPr>
        <w:pStyle w:val="BodyText"/>
        <w:rPr>
          <w:sz w:val="25"/>
        </w:rPr>
      </w:pPr>
    </w:p>
    <w:p>
      <w:pPr>
        <w:pStyle w:val="ListParagraph"/>
        <w:numPr>
          <w:ilvl w:val="0"/>
          <w:numId w:val="1"/>
        </w:numPr>
        <w:tabs>
          <w:tab w:pos="1565" w:val="left" w:leader="none"/>
        </w:tabs>
        <w:spacing w:line="252" w:lineRule="auto" w:before="1" w:after="0"/>
        <w:ind w:left="1558" w:right="1155" w:hanging="354"/>
        <w:jc w:val="left"/>
        <w:rPr>
          <w:sz w:val="23"/>
        </w:rPr>
      </w:pPr>
      <w:r>
        <w:rPr>
          <w:w w:val="105"/>
          <w:sz w:val="23"/>
        </w:rPr>
        <w:t>GSP Section 3.1.3 </w:t>
      </w:r>
      <w:r>
        <w:rPr>
          <w:i/>
          <w:w w:val="105"/>
          <w:sz w:val="23"/>
        </w:rPr>
        <w:t>Undesirable Results for Land Subsidence, </w:t>
      </w:r>
      <w:r>
        <w:rPr>
          <w:w w:val="105"/>
          <w:sz w:val="23"/>
        </w:rPr>
        <w:t>contains the following sentence: </w:t>
      </w:r>
      <w:r>
        <w:rPr>
          <w:i/>
          <w:w w:val="105"/>
          <w:sz w:val="23"/>
        </w:rPr>
        <w:t>"While it is generally acknowledged that subsidence exists </w:t>
      </w:r>
      <w:r>
        <w:rPr>
          <w:i/>
          <w:w w:val="105"/>
          <w:sz w:val="23"/>
        </w:rPr>
        <w:t>within</w:t>
      </w:r>
      <w:r>
        <w:rPr>
          <w:i/>
          <w:spacing w:val="-11"/>
          <w:w w:val="105"/>
          <w:sz w:val="23"/>
        </w:rPr>
        <w:t> </w:t>
      </w:r>
      <w:r>
        <w:rPr>
          <w:i/>
          <w:w w:val="105"/>
          <w:sz w:val="23"/>
        </w:rPr>
        <w:t>the</w:t>
      </w:r>
      <w:r>
        <w:rPr>
          <w:i/>
          <w:spacing w:val="-18"/>
          <w:w w:val="105"/>
          <w:sz w:val="23"/>
        </w:rPr>
        <w:t> </w:t>
      </w:r>
      <w:r>
        <w:rPr>
          <w:i/>
          <w:w w:val="105"/>
          <w:sz w:val="23"/>
        </w:rPr>
        <w:t>Subbasin,</w:t>
      </w:r>
      <w:r>
        <w:rPr>
          <w:i/>
          <w:spacing w:val="12"/>
          <w:w w:val="105"/>
          <w:sz w:val="23"/>
        </w:rPr>
        <w:t> </w:t>
      </w:r>
      <w:r>
        <w:rPr>
          <w:i/>
          <w:w w:val="105"/>
          <w:sz w:val="23"/>
        </w:rPr>
        <w:t>there</w:t>
      </w:r>
      <w:r>
        <w:rPr>
          <w:i/>
          <w:spacing w:val="-6"/>
          <w:w w:val="105"/>
          <w:sz w:val="23"/>
        </w:rPr>
        <w:t> </w:t>
      </w:r>
      <w:r>
        <w:rPr>
          <w:i/>
          <w:w w:val="105"/>
          <w:sz w:val="23"/>
        </w:rPr>
        <w:t>are</w:t>
      </w:r>
      <w:r>
        <w:rPr>
          <w:i/>
          <w:spacing w:val="-15"/>
          <w:w w:val="105"/>
          <w:sz w:val="23"/>
        </w:rPr>
        <w:t> </w:t>
      </w:r>
      <w:r>
        <w:rPr>
          <w:i/>
          <w:w w:val="105"/>
          <w:sz w:val="23"/>
        </w:rPr>
        <w:t>generally</w:t>
      </w:r>
      <w:r>
        <w:rPr>
          <w:i/>
          <w:spacing w:val="5"/>
          <w:w w:val="105"/>
          <w:sz w:val="23"/>
        </w:rPr>
        <w:t> </w:t>
      </w:r>
      <w:r>
        <w:rPr>
          <w:i/>
          <w:w w:val="105"/>
          <w:sz w:val="23"/>
        </w:rPr>
        <w:t>no</w:t>
      </w:r>
      <w:r>
        <w:rPr>
          <w:i/>
          <w:spacing w:val="-11"/>
          <w:w w:val="105"/>
          <w:sz w:val="23"/>
        </w:rPr>
        <w:t> </w:t>
      </w:r>
      <w:r>
        <w:rPr>
          <w:i/>
          <w:w w:val="105"/>
          <w:sz w:val="23"/>
        </w:rPr>
        <w:t>significant</w:t>
      </w:r>
      <w:r>
        <w:rPr>
          <w:i/>
          <w:spacing w:val="1"/>
          <w:w w:val="105"/>
          <w:sz w:val="23"/>
        </w:rPr>
        <w:t> </w:t>
      </w:r>
      <w:r>
        <w:rPr>
          <w:i/>
          <w:w w:val="105"/>
          <w:sz w:val="23"/>
        </w:rPr>
        <w:t>impacts</w:t>
      </w:r>
      <w:r>
        <w:rPr>
          <w:i/>
          <w:spacing w:val="-4"/>
          <w:w w:val="105"/>
          <w:sz w:val="23"/>
        </w:rPr>
        <w:t> </w:t>
      </w:r>
      <w:r>
        <w:rPr>
          <w:i/>
          <w:w w:val="105"/>
          <w:sz w:val="23"/>
        </w:rPr>
        <w:t>to</w:t>
      </w:r>
      <w:r>
        <w:rPr>
          <w:i/>
          <w:spacing w:val="-17"/>
          <w:w w:val="105"/>
          <w:sz w:val="23"/>
        </w:rPr>
        <w:t> </w:t>
      </w:r>
      <w:r>
        <w:rPr>
          <w:i/>
          <w:w w:val="105"/>
          <w:sz w:val="23"/>
        </w:rPr>
        <w:t>infrastructure within the Subbasin."We </w:t>
      </w:r>
      <w:r>
        <w:rPr>
          <w:w w:val="105"/>
          <w:sz w:val="23"/>
        </w:rPr>
        <w:t>disagree with this conclusion, as subsidence has reduced the flow capacity of the Aqueduct by 19% near Highway 46; these findings are documented in the California Aqueduct Subsidence</w:t>
      </w:r>
      <w:r>
        <w:rPr>
          <w:spacing w:val="-18"/>
          <w:w w:val="105"/>
          <w:sz w:val="23"/>
        </w:rPr>
        <w:t> </w:t>
      </w:r>
      <w:r>
        <w:rPr>
          <w:w w:val="105"/>
          <w:sz w:val="23"/>
        </w:rPr>
        <w:t>Study</w:t>
      </w:r>
    </w:p>
    <w:p>
      <w:pPr>
        <w:pStyle w:val="BodyText"/>
        <w:spacing w:line="235" w:lineRule="auto" w:before="4"/>
        <w:ind w:left="1558" w:right="1524" w:hanging="4"/>
      </w:pPr>
      <w:r>
        <w:rPr>
          <w:w w:val="105"/>
        </w:rPr>
        <w:t>(June 2017) and the California Aqueduct Subsidence Study: Supplemental Report (March 2019).</w:t>
      </w:r>
    </w:p>
    <w:p>
      <w:pPr>
        <w:pStyle w:val="BodyText"/>
        <w:spacing w:before="8"/>
        <w:rPr>
          <w:sz w:val="26"/>
        </w:rPr>
      </w:pPr>
    </w:p>
    <w:p>
      <w:pPr>
        <w:pStyle w:val="ListParagraph"/>
        <w:numPr>
          <w:ilvl w:val="0"/>
          <w:numId w:val="1"/>
        </w:numPr>
        <w:tabs>
          <w:tab w:pos="1557" w:val="left" w:leader="none"/>
        </w:tabs>
        <w:spacing w:line="249" w:lineRule="auto" w:before="0" w:after="0"/>
        <w:ind w:left="1553" w:right="1153" w:hanging="359"/>
        <w:jc w:val="left"/>
        <w:rPr>
          <w:sz w:val="23"/>
        </w:rPr>
      </w:pPr>
      <w:r>
        <w:rPr>
          <w:w w:val="105"/>
          <w:sz w:val="23"/>
        </w:rPr>
        <w:t>The</w:t>
      </w:r>
      <w:r>
        <w:rPr>
          <w:spacing w:val="-15"/>
          <w:w w:val="105"/>
          <w:sz w:val="23"/>
        </w:rPr>
        <w:t> </w:t>
      </w:r>
      <w:r>
        <w:rPr>
          <w:w w:val="105"/>
          <w:sz w:val="23"/>
        </w:rPr>
        <w:t>GSP</w:t>
      </w:r>
      <w:r>
        <w:rPr>
          <w:spacing w:val="-10"/>
          <w:w w:val="105"/>
          <w:sz w:val="23"/>
        </w:rPr>
        <w:t> </w:t>
      </w:r>
      <w:r>
        <w:rPr>
          <w:w w:val="105"/>
          <w:sz w:val="23"/>
        </w:rPr>
        <w:t>uses</w:t>
      </w:r>
      <w:r>
        <w:rPr>
          <w:spacing w:val="-8"/>
          <w:w w:val="105"/>
          <w:sz w:val="23"/>
        </w:rPr>
        <w:t> </w:t>
      </w:r>
      <w:r>
        <w:rPr>
          <w:w w:val="105"/>
          <w:sz w:val="23"/>
        </w:rPr>
        <w:t>a</w:t>
      </w:r>
      <w:r>
        <w:rPr>
          <w:spacing w:val="-17"/>
          <w:w w:val="105"/>
          <w:sz w:val="23"/>
        </w:rPr>
        <w:t> </w:t>
      </w:r>
      <w:r>
        <w:rPr>
          <w:w w:val="105"/>
          <w:sz w:val="23"/>
        </w:rPr>
        <w:t>"Subsidence</w:t>
      </w:r>
      <w:r>
        <w:rPr>
          <w:spacing w:val="-2"/>
          <w:w w:val="105"/>
          <w:sz w:val="23"/>
        </w:rPr>
        <w:t> </w:t>
      </w:r>
      <w:r>
        <w:rPr>
          <w:w w:val="105"/>
          <w:sz w:val="23"/>
        </w:rPr>
        <w:t>Monitoring</w:t>
      </w:r>
      <w:r>
        <w:rPr>
          <w:spacing w:val="1"/>
          <w:w w:val="105"/>
          <w:sz w:val="23"/>
        </w:rPr>
        <w:t> </w:t>
      </w:r>
      <w:r>
        <w:rPr>
          <w:w w:val="105"/>
          <w:sz w:val="23"/>
        </w:rPr>
        <w:t>Design</w:t>
      </w:r>
      <w:r>
        <w:rPr>
          <w:spacing w:val="-13"/>
          <w:w w:val="105"/>
          <w:sz w:val="23"/>
        </w:rPr>
        <w:t> </w:t>
      </w:r>
      <w:r>
        <w:rPr>
          <w:w w:val="105"/>
          <w:sz w:val="23"/>
        </w:rPr>
        <w:t>Approach"</w:t>
      </w:r>
      <w:r>
        <w:rPr>
          <w:spacing w:val="-11"/>
          <w:w w:val="105"/>
          <w:sz w:val="23"/>
        </w:rPr>
        <w:t> </w:t>
      </w:r>
      <w:r>
        <w:rPr>
          <w:w w:val="105"/>
          <w:sz w:val="23"/>
        </w:rPr>
        <w:t>(Figure</w:t>
      </w:r>
      <w:r>
        <w:rPr>
          <w:spacing w:val="-4"/>
          <w:w w:val="105"/>
          <w:sz w:val="23"/>
        </w:rPr>
        <w:t> </w:t>
      </w:r>
      <w:r>
        <w:rPr>
          <w:w w:val="105"/>
          <w:sz w:val="23"/>
        </w:rPr>
        <w:t>3-4)</w:t>
      </w:r>
      <w:r>
        <w:rPr>
          <w:spacing w:val="-9"/>
          <w:w w:val="105"/>
          <w:sz w:val="23"/>
        </w:rPr>
        <w:t> </w:t>
      </w:r>
      <w:r>
        <w:rPr>
          <w:w w:val="105"/>
          <w:sz w:val="23"/>
        </w:rPr>
        <w:t>which asks many questions and lists many tasks. Most of these questions and tasks have already been answered or completed, with respect to the Aqueduct, and documented in the above-mentioned reports. We recommend moving forward with the remaining elements of the plan to address</w:t>
      </w:r>
      <w:r>
        <w:rPr>
          <w:spacing w:val="-29"/>
          <w:w w:val="105"/>
          <w:sz w:val="23"/>
        </w:rPr>
        <w:t> </w:t>
      </w:r>
      <w:r>
        <w:rPr>
          <w:w w:val="105"/>
          <w:sz w:val="23"/>
        </w:rPr>
        <w:t>subsidence.</w:t>
      </w:r>
    </w:p>
    <w:p>
      <w:pPr>
        <w:pStyle w:val="BodyText"/>
        <w:spacing w:before="2"/>
        <w:rPr>
          <w:sz w:val="27"/>
        </w:rPr>
      </w:pPr>
    </w:p>
    <w:p>
      <w:pPr>
        <w:pStyle w:val="ListParagraph"/>
        <w:numPr>
          <w:ilvl w:val="0"/>
          <w:numId w:val="1"/>
        </w:numPr>
        <w:tabs>
          <w:tab w:pos="1550" w:val="left" w:leader="none"/>
        </w:tabs>
        <w:spacing w:line="247" w:lineRule="auto" w:before="0" w:after="0"/>
        <w:ind w:left="1545" w:right="1033" w:hanging="354"/>
        <w:jc w:val="left"/>
        <w:rPr>
          <w:sz w:val="23"/>
        </w:rPr>
      </w:pPr>
      <w:r>
        <w:rPr>
          <w:w w:val="105"/>
          <w:sz w:val="23"/>
        </w:rPr>
        <w:t>The GSP states that subsidence associated with oil and gas activities may also occur</w:t>
      </w:r>
      <w:r>
        <w:rPr>
          <w:spacing w:val="-9"/>
          <w:w w:val="105"/>
          <w:sz w:val="23"/>
        </w:rPr>
        <w:t> </w:t>
      </w:r>
      <w:r>
        <w:rPr>
          <w:w w:val="105"/>
          <w:sz w:val="23"/>
        </w:rPr>
        <w:t>within</w:t>
      </w:r>
      <w:r>
        <w:rPr>
          <w:spacing w:val="-8"/>
          <w:w w:val="105"/>
          <w:sz w:val="23"/>
        </w:rPr>
        <w:t> </w:t>
      </w:r>
      <w:r>
        <w:rPr>
          <w:w w:val="105"/>
          <w:sz w:val="23"/>
        </w:rPr>
        <w:t>the</w:t>
      </w:r>
      <w:r>
        <w:rPr>
          <w:spacing w:val="-6"/>
          <w:w w:val="105"/>
          <w:sz w:val="23"/>
        </w:rPr>
        <w:t> </w:t>
      </w:r>
      <w:r>
        <w:rPr>
          <w:w w:val="105"/>
          <w:sz w:val="23"/>
        </w:rPr>
        <w:t>Subbasin.</w:t>
      </w:r>
      <w:r>
        <w:rPr>
          <w:spacing w:val="10"/>
          <w:w w:val="105"/>
          <w:sz w:val="23"/>
        </w:rPr>
        <w:t> </w:t>
      </w:r>
      <w:r>
        <w:rPr>
          <w:w w:val="105"/>
          <w:sz w:val="23"/>
        </w:rPr>
        <w:t>In</w:t>
      </w:r>
      <w:r>
        <w:rPr>
          <w:spacing w:val="-18"/>
          <w:w w:val="105"/>
          <w:sz w:val="23"/>
        </w:rPr>
        <w:t> </w:t>
      </w:r>
      <w:r>
        <w:rPr>
          <w:w w:val="105"/>
          <w:sz w:val="23"/>
        </w:rPr>
        <w:t>fact,</w:t>
      </w:r>
      <w:r>
        <w:rPr>
          <w:spacing w:val="-14"/>
          <w:w w:val="105"/>
          <w:sz w:val="23"/>
        </w:rPr>
        <w:t> </w:t>
      </w:r>
      <w:r>
        <w:rPr>
          <w:w w:val="105"/>
          <w:sz w:val="23"/>
        </w:rPr>
        <w:t>the</w:t>
      </w:r>
      <w:r>
        <w:rPr>
          <w:spacing w:val="-14"/>
          <w:w w:val="105"/>
          <w:sz w:val="23"/>
        </w:rPr>
        <w:t> </w:t>
      </w:r>
      <w:r>
        <w:rPr>
          <w:w w:val="105"/>
          <w:sz w:val="23"/>
        </w:rPr>
        <w:t>March</w:t>
      </w:r>
      <w:r>
        <w:rPr>
          <w:spacing w:val="-5"/>
          <w:w w:val="105"/>
          <w:sz w:val="23"/>
        </w:rPr>
        <w:t> </w:t>
      </w:r>
      <w:r>
        <w:rPr>
          <w:w w:val="105"/>
          <w:sz w:val="23"/>
        </w:rPr>
        <w:t>2019 report</w:t>
      </w:r>
      <w:r>
        <w:rPr>
          <w:spacing w:val="-7"/>
          <w:w w:val="105"/>
          <w:sz w:val="23"/>
        </w:rPr>
        <w:t> </w:t>
      </w:r>
      <w:r>
        <w:rPr>
          <w:w w:val="105"/>
          <w:sz w:val="23"/>
        </w:rPr>
        <w:t>finds</w:t>
      </w:r>
      <w:r>
        <w:rPr>
          <w:spacing w:val="-11"/>
          <w:w w:val="105"/>
          <w:sz w:val="23"/>
        </w:rPr>
        <w:t> </w:t>
      </w:r>
      <w:r>
        <w:rPr>
          <w:w w:val="105"/>
          <w:sz w:val="23"/>
        </w:rPr>
        <w:t>that</w:t>
      </w:r>
      <w:r>
        <w:rPr>
          <w:spacing w:val="-2"/>
          <w:w w:val="105"/>
          <w:sz w:val="23"/>
        </w:rPr>
        <w:t> </w:t>
      </w:r>
      <w:r>
        <w:rPr>
          <w:w w:val="105"/>
          <w:sz w:val="23"/>
        </w:rPr>
        <w:t>oil</w:t>
      </w:r>
      <w:r>
        <w:rPr>
          <w:spacing w:val="-14"/>
          <w:w w:val="105"/>
          <w:sz w:val="23"/>
        </w:rPr>
        <w:t> </w:t>
      </w:r>
      <w:r>
        <w:rPr>
          <w:w w:val="105"/>
          <w:sz w:val="23"/>
        </w:rPr>
        <w:t>extraction from the Lost Hill Oilfields did not have a significant contribution along the Aqueduct.</w:t>
      </w:r>
    </w:p>
    <w:p>
      <w:pPr>
        <w:pStyle w:val="BodyText"/>
        <w:spacing w:before="2"/>
        <w:rPr>
          <w:sz w:val="28"/>
        </w:rPr>
      </w:pPr>
    </w:p>
    <w:p>
      <w:pPr>
        <w:pStyle w:val="ListParagraph"/>
        <w:numPr>
          <w:ilvl w:val="0"/>
          <w:numId w:val="1"/>
        </w:numPr>
        <w:tabs>
          <w:tab w:pos="1552" w:val="left" w:leader="none"/>
        </w:tabs>
        <w:spacing w:line="254" w:lineRule="auto" w:before="0" w:after="0"/>
        <w:ind w:left="1546" w:right="1375" w:hanging="356"/>
        <w:jc w:val="left"/>
        <w:rPr>
          <w:sz w:val="23"/>
        </w:rPr>
      </w:pPr>
      <w:r>
        <w:rPr>
          <w:w w:val="105"/>
          <w:sz w:val="23"/>
        </w:rPr>
        <w:t>DWR will continue to collect precise survey data along the Aqueduct. We recommend</w:t>
      </w:r>
      <w:r>
        <w:rPr>
          <w:spacing w:val="12"/>
          <w:w w:val="105"/>
          <w:sz w:val="23"/>
        </w:rPr>
        <w:t> </w:t>
      </w:r>
      <w:r>
        <w:rPr>
          <w:w w:val="105"/>
          <w:sz w:val="23"/>
        </w:rPr>
        <w:t>inclusion</w:t>
      </w:r>
      <w:r>
        <w:rPr>
          <w:spacing w:val="-2"/>
          <w:w w:val="105"/>
          <w:sz w:val="23"/>
        </w:rPr>
        <w:t> </w:t>
      </w:r>
      <w:r>
        <w:rPr>
          <w:w w:val="105"/>
          <w:sz w:val="23"/>
        </w:rPr>
        <w:t>of</w:t>
      </w:r>
      <w:r>
        <w:rPr>
          <w:spacing w:val="-14"/>
          <w:w w:val="105"/>
          <w:sz w:val="23"/>
        </w:rPr>
        <w:t> </w:t>
      </w:r>
      <w:r>
        <w:rPr>
          <w:w w:val="105"/>
          <w:sz w:val="23"/>
        </w:rPr>
        <w:t>SWP</w:t>
      </w:r>
      <w:r>
        <w:rPr>
          <w:spacing w:val="-13"/>
          <w:w w:val="105"/>
          <w:sz w:val="23"/>
        </w:rPr>
        <w:t> </w:t>
      </w:r>
      <w:r>
        <w:rPr>
          <w:w w:val="105"/>
          <w:sz w:val="23"/>
        </w:rPr>
        <w:t>Aqueduct</w:t>
      </w:r>
      <w:r>
        <w:rPr>
          <w:spacing w:val="11"/>
          <w:w w:val="105"/>
          <w:sz w:val="23"/>
        </w:rPr>
        <w:t> </w:t>
      </w:r>
      <w:r>
        <w:rPr>
          <w:w w:val="105"/>
          <w:sz w:val="23"/>
        </w:rPr>
        <w:t>survey</w:t>
      </w:r>
      <w:r>
        <w:rPr>
          <w:spacing w:val="-8"/>
          <w:w w:val="105"/>
          <w:sz w:val="23"/>
        </w:rPr>
        <w:t> </w:t>
      </w:r>
      <w:r>
        <w:rPr>
          <w:w w:val="105"/>
          <w:sz w:val="23"/>
        </w:rPr>
        <w:t>data</w:t>
      </w:r>
      <w:r>
        <w:rPr>
          <w:spacing w:val="-6"/>
          <w:w w:val="105"/>
          <w:sz w:val="23"/>
        </w:rPr>
        <w:t> </w:t>
      </w:r>
      <w:r>
        <w:rPr>
          <w:w w:val="105"/>
          <w:sz w:val="23"/>
        </w:rPr>
        <w:t>in</w:t>
      </w:r>
      <w:r>
        <w:rPr>
          <w:spacing w:val="-18"/>
          <w:w w:val="105"/>
          <w:sz w:val="23"/>
        </w:rPr>
        <w:t> </w:t>
      </w:r>
      <w:r>
        <w:rPr>
          <w:w w:val="105"/>
          <w:sz w:val="23"/>
        </w:rPr>
        <w:t>the</w:t>
      </w:r>
      <w:r>
        <w:rPr>
          <w:spacing w:val="-10"/>
          <w:w w:val="105"/>
          <w:sz w:val="23"/>
        </w:rPr>
        <w:t> </w:t>
      </w:r>
      <w:r>
        <w:rPr>
          <w:w w:val="105"/>
          <w:sz w:val="23"/>
        </w:rPr>
        <w:t>GSP's</w:t>
      </w:r>
      <w:r>
        <w:rPr>
          <w:spacing w:val="-10"/>
          <w:w w:val="105"/>
          <w:sz w:val="23"/>
        </w:rPr>
        <w:t> </w:t>
      </w:r>
      <w:r>
        <w:rPr>
          <w:w w:val="105"/>
          <w:sz w:val="23"/>
        </w:rPr>
        <w:t>monitoring</w:t>
      </w:r>
    </w:p>
    <w:p>
      <w:pPr>
        <w:spacing w:after="0" w:line="254" w:lineRule="auto"/>
        <w:jc w:val="left"/>
        <w:rPr>
          <w:sz w:val="23"/>
        </w:rPr>
        <w:sectPr>
          <w:type w:val="continuous"/>
          <w:pgSz w:w="12260" w:h="15840"/>
          <w:pgMar w:top="140" w:bottom="0" w:left="580" w:right="620"/>
        </w:sectPr>
      </w:pPr>
    </w:p>
    <w:p>
      <w:pPr>
        <w:pStyle w:val="BodyText"/>
        <w:spacing w:line="249" w:lineRule="auto" w:before="64"/>
        <w:ind w:left="560" w:right="6628"/>
      </w:pPr>
      <w:r>
        <w:rPr/>
        <w:pict>
          <v:line style="position:absolute;mso-position-horizontal-relative:page;mso-position-vertical-relative:page;z-index:251661312" from="611.635742pt,706.88272pt" to="611.635742pt,672.981201pt" stroked="true" strokeweight=".721694pt" strokecolor="#000000">
            <v:stroke dashstyle="solid"/>
            <w10:wrap type="none"/>
          </v:line>
        </w:pict>
      </w:r>
      <w:r>
        <w:rPr>
          <w:color w:val="151515"/>
          <w:w w:val="105"/>
        </w:rPr>
        <w:t>Ms. Patty Piore December 26</w:t>
      </w:r>
      <w:r>
        <w:rPr>
          <w:color w:val="2F2F2F"/>
          <w:w w:val="105"/>
        </w:rPr>
        <w:t>, </w:t>
      </w:r>
      <w:r>
        <w:rPr>
          <w:color w:val="151515"/>
          <w:w w:val="105"/>
        </w:rPr>
        <w:t>2019</w:t>
      </w:r>
    </w:p>
    <w:p>
      <w:pPr>
        <w:pStyle w:val="BodyText"/>
        <w:spacing w:line="263" w:lineRule="exact"/>
        <w:ind w:left="560"/>
      </w:pPr>
      <w:r>
        <w:rPr>
          <w:color w:val="151515"/>
          <w:w w:val="105"/>
        </w:rPr>
        <w:t>Page 2</w:t>
      </w:r>
    </w:p>
    <w:p>
      <w:pPr>
        <w:pStyle w:val="BodyText"/>
        <w:rPr>
          <w:sz w:val="26"/>
        </w:rPr>
      </w:pPr>
    </w:p>
    <w:p>
      <w:pPr>
        <w:pStyle w:val="BodyText"/>
        <w:rPr>
          <w:sz w:val="25"/>
        </w:rPr>
      </w:pPr>
    </w:p>
    <w:p>
      <w:pPr>
        <w:pStyle w:val="BodyText"/>
        <w:spacing w:line="242" w:lineRule="auto" w:before="1"/>
        <w:ind w:left="1280" w:right="54" w:hanging="3"/>
      </w:pPr>
      <w:r>
        <w:rPr>
          <w:color w:val="151515"/>
          <w:w w:val="105"/>
        </w:rPr>
        <w:t>plan and commit to facilitating transfer of this data</w:t>
      </w:r>
      <w:r>
        <w:rPr>
          <w:color w:val="2F2F2F"/>
          <w:w w:val="105"/>
        </w:rPr>
        <w:t>. </w:t>
      </w:r>
      <w:r>
        <w:rPr>
          <w:color w:val="151515"/>
          <w:w w:val="105"/>
        </w:rPr>
        <w:t>This approach will allow the GSAs and SWP to obtain relevant</w:t>
      </w:r>
      <w:r>
        <w:rPr>
          <w:color w:val="2F2F2F"/>
          <w:w w:val="105"/>
        </w:rPr>
        <w:t>, </w:t>
      </w:r>
      <w:r>
        <w:rPr>
          <w:color w:val="151515"/>
          <w:w w:val="105"/>
        </w:rPr>
        <w:t>high-quality </w:t>
      </w:r>
      <w:r>
        <w:rPr>
          <w:color w:val="2F2F2F"/>
          <w:w w:val="105"/>
        </w:rPr>
        <w:t>d</w:t>
      </w:r>
      <w:r>
        <w:rPr>
          <w:color w:val="151515"/>
          <w:w w:val="105"/>
        </w:rPr>
        <w:t>ata related to subsidence along the Aqueduct.</w:t>
      </w:r>
    </w:p>
    <w:p>
      <w:pPr>
        <w:pStyle w:val="BodyText"/>
        <w:rPr>
          <w:sz w:val="26"/>
        </w:rPr>
      </w:pPr>
    </w:p>
    <w:p>
      <w:pPr>
        <w:pStyle w:val="BodyText"/>
        <w:rPr>
          <w:sz w:val="26"/>
        </w:rPr>
      </w:pPr>
    </w:p>
    <w:p>
      <w:pPr>
        <w:pStyle w:val="BodyText"/>
        <w:spacing w:line="244" w:lineRule="auto" w:before="165"/>
        <w:ind w:left="552" w:right="53" w:firstLine="5"/>
      </w:pPr>
      <w:r>
        <w:rPr>
          <w:color w:val="151515"/>
          <w:w w:val="105"/>
        </w:rPr>
        <w:t>These comments are provided on behalf of the SWP</w:t>
      </w:r>
      <w:r>
        <w:rPr>
          <w:color w:val="2F2F2F"/>
          <w:w w:val="105"/>
        </w:rPr>
        <w:t>. </w:t>
      </w:r>
      <w:r>
        <w:rPr>
          <w:color w:val="151515"/>
          <w:w w:val="105"/>
        </w:rPr>
        <w:t>Regulatory decisions and actions under SGMA are managed separately and independently by the Department's Sustainable Groundwater Management Office (SGMO).</w:t>
      </w:r>
    </w:p>
    <w:p>
      <w:pPr>
        <w:pStyle w:val="BodyText"/>
        <w:spacing w:before="3"/>
        <w:rPr>
          <w:sz w:val="21"/>
        </w:rPr>
      </w:pPr>
    </w:p>
    <w:p>
      <w:pPr>
        <w:pStyle w:val="BodyText"/>
        <w:spacing w:line="247" w:lineRule="auto"/>
        <w:ind w:left="548" w:right="107" w:firstLine="9"/>
      </w:pPr>
      <w:r>
        <w:rPr>
          <w:color w:val="151515"/>
          <w:w w:val="105"/>
        </w:rPr>
        <w:t>The SWP looks forward to working with your agency to engage on these comments on the draft GSP</w:t>
      </w:r>
      <w:r>
        <w:rPr>
          <w:color w:val="2F2F2F"/>
          <w:w w:val="105"/>
        </w:rPr>
        <w:t>. </w:t>
      </w:r>
      <w:r>
        <w:rPr>
          <w:color w:val="151515"/>
          <w:w w:val="105"/>
        </w:rPr>
        <w:t>If you have any questions</w:t>
      </w:r>
      <w:r>
        <w:rPr>
          <w:color w:val="2F2F2F"/>
          <w:w w:val="105"/>
        </w:rPr>
        <w:t>, </w:t>
      </w:r>
      <w:r>
        <w:rPr>
          <w:color w:val="151515"/>
          <w:w w:val="105"/>
        </w:rPr>
        <w:t>please contact the California Aqueduct Subsidence Program Manager Mike lnamine a</w:t>
      </w:r>
      <w:r>
        <w:rPr>
          <w:color w:val="2F2F2F"/>
          <w:w w:val="105"/>
        </w:rPr>
        <w:t>t </w:t>
      </w:r>
      <w:r>
        <w:rPr>
          <w:color w:val="151515"/>
          <w:w w:val="105"/>
        </w:rPr>
        <w:t>(916) 213</w:t>
      </w:r>
      <w:r>
        <w:rPr>
          <w:color w:val="2F2F2F"/>
          <w:w w:val="105"/>
        </w:rPr>
        <w:t>-</w:t>
      </w:r>
      <w:r>
        <w:rPr>
          <w:color w:val="151515"/>
          <w:w w:val="105"/>
        </w:rPr>
        <w:t>3810 or </w:t>
      </w:r>
      <w:hyperlink r:id="rId6">
        <w:r>
          <w:rPr>
            <w:color w:val="083F7B"/>
            <w:w w:val="105"/>
            <w:u w:val="thick" w:color="151515"/>
          </w:rPr>
          <w:t>michael.inamine@water.c</w:t>
        </w:r>
        <w:r>
          <w:rPr>
            <w:color w:val="31599A"/>
            <w:w w:val="105"/>
            <w:u w:val="thick" w:color="151515"/>
          </w:rPr>
          <w:t>.</w:t>
        </w:r>
        <w:r>
          <w:rPr>
            <w:color w:val="083F7B"/>
            <w:w w:val="105"/>
            <w:u w:val="thick" w:color="151515"/>
          </w:rPr>
          <w:t>agov</w:t>
        </w:r>
        <w:r>
          <w:rPr>
            <w:color w:val="151515"/>
            <w:w w:val="105"/>
          </w:rPr>
          <w:t>.</w:t>
        </w:r>
      </w:hyperlink>
    </w:p>
    <w:p>
      <w:pPr>
        <w:pStyle w:val="BodyText"/>
        <w:spacing w:before="2"/>
        <w:rPr>
          <w:sz w:val="22"/>
        </w:rPr>
      </w:pPr>
    </w:p>
    <w:p>
      <w:pPr>
        <w:spacing w:before="0"/>
        <w:ind w:left="317" w:right="0" w:firstLine="0"/>
        <w:jc w:val="left"/>
        <w:rPr>
          <w:rFonts w:ascii="Times New Roman"/>
          <w:i/>
          <w:sz w:val="100"/>
        </w:rPr>
      </w:pPr>
      <w:r>
        <w:rPr>
          <w:rFonts w:ascii="Times New Roman"/>
          <w:i/>
          <w:color w:val="3B4679"/>
          <w:spacing w:val="-213"/>
          <w:w w:val="109"/>
          <w:sz w:val="100"/>
        </w:rPr>
        <w:t>q</w:t>
      </w:r>
      <w:r>
        <w:rPr>
          <w:rFonts w:ascii="Times New Roman"/>
          <w:i/>
          <w:color w:val="151515"/>
          <w:spacing w:val="69"/>
          <w:w w:val="32"/>
          <w:sz w:val="100"/>
        </w:rPr>
        <w:t>e</w:t>
      </w:r>
      <w:r>
        <w:rPr>
          <w:rFonts w:ascii="Times New Roman"/>
          <w:i/>
          <w:color w:val="3B4679"/>
          <w:spacing w:val="94"/>
          <w:w w:val="109"/>
          <w:sz w:val="100"/>
        </w:rPr>
        <w:t>i</w:t>
      </w:r>
      <w:r>
        <w:rPr>
          <w:rFonts w:ascii="Times New Roman"/>
          <w:i/>
          <w:color w:val="3B4679"/>
          <w:w w:val="32"/>
          <w:sz w:val="100"/>
        </w:rPr>
        <w:t>i</w:t>
      </w:r>
    </w:p>
    <w:p>
      <w:pPr>
        <w:pStyle w:val="BodyText"/>
        <w:spacing w:line="440" w:lineRule="exact" w:before="96"/>
        <w:ind w:left="102"/>
      </w:pPr>
      <w:r>
        <w:rPr>
          <w:color w:val="697BD1"/>
          <w:w w:val="105"/>
          <w:sz w:val="39"/>
        </w:rPr>
        <w:t>G/ </w:t>
      </w:r>
      <w:r>
        <w:rPr>
          <w:color w:val="151515"/>
          <w:w w:val="105"/>
        </w:rPr>
        <w:t>Ted Craddock</w:t>
      </w:r>
    </w:p>
    <w:p>
      <w:pPr>
        <w:pStyle w:val="BodyText"/>
        <w:spacing w:line="249" w:lineRule="auto"/>
        <w:ind w:left="552" w:right="6628" w:hanging="11"/>
      </w:pPr>
      <w:r>
        <w:rPr>
          <w:color w:val="151515"/>
          <w:w w:val="105"/>
        </w:rPr>
        <w:t>Acting Deputy Director State Water Project</w:t>
      </w:r>
    </w:p>
    <w:sectPr>
      <w:pgSz w:w="12240" w:h="15840"/>
      <w:pgMar w:top="1220" w:bottom="280" w:left="8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8" w:hanging="359"/>
        <w:jc w:val="left"/>
      </w:pPr>
      <w:rPr>
        <w:rFonts w:hint="default" w:ascii="Arial" w:hAnsi="Arial" w:eastAsia="Arial" w:cs="Arial"/>
        <w:spacing w:val="-1"/>
        <w:w w:val="106"/>
        <w:sz w:val="23"/>
        <w:szCs w:val="23"/>
      </w:rPr>
    </w:lvl>
    <w:lvl w:ilvl="1">
      <w:start w:val="0"/>
      <w:numFmt w:val="bullet"/>
      <w:lvlText w:val="•"/>
      <w:lvlJc w:val="left"/>
      <w:pPr>
        <w:ind w:left="2510" w:hanging="359"/>
      </w:pPr>
      <w:rPr>
        <w:rFonts w:hint="default"/>
      </w:rPr>
    </w:lvl>
    <w:lvl w:ilvl="2">
      <w:start w:val="0"/>
      <w:numFmt w:val="bullet"/>
      <w:lvlText w:val="•"/>
      <w:lvlJc w:val="left"/>
      <w:pPr>
        <w:ind w:left="3460" w:hanging="359"/>
      </w:pPr>
      <w:rPr>
        <w:rFonts w:hint="default"/>
      </w:rPr>
    </w:lvl>
    <w:lvl w:ilvl="3">
      <w:start w:val="0"/>
      <w:numFmt w:val="bullet"/>
      <w:lvlText w:val="•"/>
      <w:lvlJc w:val="left"/>
      <w:pPr>
        <w:ind w:left="4410" w:hanging="359"/>
      </w:pPr>
      <w:rPr>
        <w:rFonts w:hint="default"/>
      </w:rPr>
    </w:lvl>
    <w:lvl w:ilvl="4">
      <w:start w:val="0"/>
      <w:numFmt w:val="bullet"/>
      <w:lvlText w:val="•"/>
      <w:lvlJc w:val="left"/>
      <w:pPr>
        <w:ind w:left="5360" w:hanging="359"/>
      </w:pPr>
      <w:rPr>
        <w:rFonts w:hint="default"/>
      </w:rPr>
    </w:lvl>
    <w:lvl w:ilvl="5">
      <w:start w:val="0"/>
      <w:numFmt w:val="bullet"/>
      <w:lvlText w:val="•"/>
      <w:lvlJc w:val="left"/>
      <w:pPr>
        <w:ind w:left="6310" w:hanging="359"/>
      </w:pPr>
      <w:rPr>
        <w:rFonts w:hint="default"/>
      </w:rPr>
    </w:lvl>
    <w:lvl w:ilvl="6">
      <w:start w:val="0"/>
      <w:numFmt w:val="bullet"/>
      <w:lvlText w:val="•"/>
      <w:lvlJc w:val="left"/>
      <w:pPr>
        <w:ind w:left="7260" w:hanging="359"/>
      </w:pPr>
      <w:rPr>
        <w:rFonts w:hint="default"/>
      </w:rPr>
    </w:lvl>
    <w:lvl w:ilvl="7">
      <w:start w:val="0"/>
      <w:numFmt w:val="bullet"/>
      <w:lvlText w:val="•"/>
      <w:lvlJc w:val="left"/>
      <w:pPr>
        <w:ind w:left="8210" w:hanging="359"/>
      </w:pPr>
      <w:rPr>
        <w:rFonts w:hint="default"/>
      </w:rPr>
    </w:lvl>
    <w:lvl w:ilvl="8">
      <w:start w:val="0"/>
      <w:numFmt w:val="bullet"/>
      <w:lvlText w:val="•"/>
      <w:lvlJc w:val="left"/>
      <w:pPr>
        <w:ind w:left="9160" w:hanging="35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ListParagraph" w:type="paragraph">
    <w:name w:val="List Paragraph"/>
    <w:basedOn w:val="Normal"/>
    <w:uiPriority w:val="1"/>
    <w:qFormat/>
    <w:pPr>
      <w:ind w:left="1545" w:right="1033" w:hanging="35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michael.inamine@water.c.a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2020-01-14T00:22:05Z</dcterms:created>
  <dcterms:modified xsi:type="dcterms:W3CDTF">2020-01-14T00:22:05Z</dcterms:modified>
</cp:coreProperties>
</file>